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0" w:after="20"/>
        <w:shd w:val="clear" w:color="ffffff" w:fill="ffffff"/>
        <w:rPr>
          <w:rFonts w:ascii="Times New Roman" w:hAnsi="Times New Roman" w:eastAsia="Calibri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2.1.14 Рабочая программа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курса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неурочной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Движение есть жизнь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0"/>
        <w:jc w:val="both"/>
        <w:spacing w:before="20" w:after="20" w:line="36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ind w:firstLine="0"/>
        <w:jc w:val="center"/>
        <w:spacing w:before="20" w:after="20" w:line="36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Пояснительная записка.    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Программа по внеурочной деятельности на уровне начального общего образования составлена на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основе требований к результатам освоения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Программа по внеурочной деятельности разработана с учётом потребности сов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программе по внеурочной деятельности отражены объективно сложившиеся реалии современного социокультурн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Изучение учебного предмета  Внеурочная деятельность имеет важное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значение в онтогенезе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Оно активно воздействует на развитие их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физической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психической 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Целью образования по внеурочной деятельности на уровне начального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прикладно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-ориентированной направленности.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Развив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ающая ориентация учебного предмета внеурочной деятельности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Существенным достижением такой ориентации является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постепенное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Вовлечение обучающихся в здоровый образ жизни за счёт овладения ими знаниями 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Воспитывающее з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совместной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кол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лективной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деятельности.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Методологической основой структуры и содержания программы по внеурочной деятельности для начального общего образования являются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базовые положения личностно-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деятельностного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подхода, ориентирующие педагогический процесс на развитие целостной личности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Достижение целостного развития ст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информационный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операциональный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Содержание модуля 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Прикладно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-ориентированная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внеурочная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деятельность обеспечивается программами по видам спорта, которые могут использоваться образо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Прикладно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Содержание программы по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внеур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изложено по годам обучения и раскрывает основные её содержательные линии, обязательные для изучения в каждом классе: «Знания о спорте», «Способы самостоятельной деятельности» и «Физическое совершенствование».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Планируемые результаты включают в себя личностные,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метапредметные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предметные результаты.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Результативность освоения учебного предмета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обучающимися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‌Общее число часов 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ля изучения внеурочной деятельности на уровне начального общего образования составляет – 170 часов: в 1 классе – 34 часа (1 час в неделю), во 2 классе – 34 часа(1 час в неделю), в 3 классе – 34 часа (1 час в неделю), в 4 классе – 34часа (1 час в неделю).‌‌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567"/>
        <w:jc w:val="both"/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Содержание Внеурочной деятельности:  »Движение есть жизнь»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45"/>
      </w:tblGrid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Вводное занятие. Техника безопасности во время занятий легкой атлетикой.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развития легкоатлетического спорта. Гигиена спортсмена и закаливание.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разбега способом « согнув ноги»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Места закаливания, их оборудование и подготовка. Ознакомление с правилами соревнований по бегу и прыжкам.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Тренировка в отдельных видах легкой атлетики. Бег на средние дистанции. Прыжки в длину с разбега.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дистанции. Бег 100 м. Эстафетный бег 4*100 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Развитие силы мышц 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с отдельными элементами техники бега и ходьбы. Бег на короткие дистанции.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Контрольные упражнения. Бег 60м,100м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елночный бег 3*10м,прыжок в длину с места, подтягивание на перекладине.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Развитие силы мышц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Развитие силы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мыщц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разбега способом « согнув ноги»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Гигиена спортсмена и закаливание.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Упражнения на тренажерах.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3000 м. Инструкторская и судейская практика.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Mar>
              <w:left w:w="115" w:type="dxa"/>
              <w:top w:w="0" w:type="dxa"/>
              <w:right w:w="115" w:type="dxa"/>
              <w:bottom w:w="0" w:type="dxa"/>
            </w:tcMar>
            <w:tcW w:w="4968" w:type="pct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 способом « согнув ноги».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0"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внеурочно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«Движение есть жизнь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в сфере отношений обучающихся к себе, к своему здоровью, к познанию себя: – ориентация обучающихся на достижен</w:t>
      </w:r>
      <w:r>
        <w:rPr>
          <w:rFonts w:ascii="Times New Roman" w:hAnsi="Times New Roman" w:cs="Times New Roman"/>
          <w:sz w:val="24"/>
          <w:szCs w:val="24"/>
        </w:rPr>
        <w:t xml:space="preserve">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 готовность и способность обучающихся к отстаиванию л</w:t>
      </w:r>
      <w:r>
        <w:rPr>
          <w:rFonts w:ascii="Times New Roman" w:hAnsi="Times New Roman" w:cs="Times New Roman"/>
          <w:sz w:val="24"/>
          <w:szCs w:val="24"/>
        </w:rPr>
        <w:t xml:space="preserve">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сфере отношений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к России как к Родине (Отечеству): 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</w:t>
      </w:r>
      <w:r>
        <w:rPr>
          <w:rFonts w:ascii="Times New Roman" w:hAnsi="Times New Roman" w:cs="Times New Roman"/>
          <w:sz w:val="24"/>
          <w:szCs w:val="24"/>
        </w:rPr>
        <w:t xml:space="preserve">нию Отечеству, его защите;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уважения к русскому </w:t>
      </w:r>
      <w:r>
        <w:rPr>
          <w:rFonts w:ascii="Times New Roman" w:hAnsi="Times New Roman" w:cs="Times New Roman"/>
          <w:sz w:val="24"/>
          <w:szCs w:val="24"/>
        </w:rPr>
        <w:t xml:space="preserve">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Федерации; </w:t>
      </w:r>
      <w:r>
        <w:rPr>
          <w:rFonts w:ascii="Times New Roman" w:hAnsi="Times New Roman" w:cs="Times New Roman"/>
          <w:sz w:val="24"/>
          <w:szCs w:val="24"/>
        </w:rPr>
        <w:t xml:space="preserve">в сфере отношений обучающихся к закону, го</w:t>
      </w:r>
      <w:r>
        <w:rPr>
          <w:rFonts w:ascii="Times New Roman" w:hAnsi="Times New Roman" w:cs="Times New Roman"/>
          <w:sz w:val="24"/>
          <w:szCs w:val="24"/>
        </w:rPr>
        <w:t xml:space="preserve">сударству и к гражданскому обществу: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– </w:t>
      </w:r>
      <w:r>
        <w:rPr>
          <w:rFonts w:ascii="Times New Roman" w:hAnsi="Times New Roman" w:cs="Times New Roman"/>
          <w:sz w:val="24"/>
          <w:szCs w:val="24"/>
        </w:rPr>
        <w:t xml:space="preserve">интериоризация</w:t>
      </w:r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</w:t>
      </w:r>
      <w:r>
        <w:rPr>
          <w:rFonts w:ascii="Times New Roman" w:hAnsi="Times New Roman" w:cs="Times New Roman"/>
          <w:sz w:val="24"/>
          <w:szCs w:val="24"/>
        </w:rPr>
        <w:t xml:space="preserve">моорганизации, самоуправления, общественно значимой деятельности; 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  <w:r>
        <w:rPr>
          <w:rFonts w:ascii="Times New Roman" w:hAnsi="Times New Roman" w:cs="Times New Roman"/>
          <w:sz w:val="24"/>
          <w:szCs w:val="24"/>
        </w:rPr>
        <w:t xml:space="preserve">в сфере отношений обучающихся с окружающими людьми: – </w:t>
      </w:r>
      <w:r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</w:t>
      </w:r>
      <w:r>
        <w:rPr>
          <w:rFonts w:ascii="Times New Roman" w:hAnsi="Times New Roman" w:cs="Times New Roman"/>
          <w:sz w:val="24"/>
          <w:szCs w:val="24"/>
        </w:rPr>
        <w:t xml:space="preserve">тв (чести, долга, справедливости, милосердия и дружелюбия);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отношений обучающихся к окружающему миру, живой природе, физической культуре: – мировоззрение, соответствующее современному уровню развития физической культуры и спорта, значимости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культуры, готовность к физкультурно оздоровительному творчеству, владение достоверной информацией о передовых достижениях и открытиях мировой и отечественной науки, заинтересованность в научных и культурных знаниях об устройстве мира и общества;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и в области физической культуры и спорта, самообразованию, на протяжении всей жизни; сознательное отношение к непрерывному образованию как условию успешной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и общественной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ьности; в сфере отношения обучающихся к труду, в сфере социально-экономических отношений: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>
        <w:rPr>
          <w:rFonts w:ascii="Times New Roman" w:hAnsi="Times New Roman" w:cs="Times New Roman"/>
          <w:sz w:val="24"/>
          <w:szCs w:val="24"/>
        </w:rPr>
        <w:t xml:space="preserve"> 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результаты: 1. Регулятивные универсальны</w:t>
      </w:r>
      <w:r>
        <w:rPr>
          <w:rFonts w:ascii="Times New Roman" w:hAnsi="Times New Roman" w:cs="Times New Roman"/>
          <w:sz w:val="24"/>
          <w:szCs w:val="24"/>
        </w:rPr>
        <w:t xml:space="preserve">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жизни и жизни окружающих людей, основываясь на соображениях этики, здоровья и морали; 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</w:t>
      </w:r>
      <w:r>
        <w:rPr>
          <w:rFonts w:ascii="Times New Roman" w:hAnsi="Times New Roman" w:cs="Times New Roman"/>
          <w:sz w:val="24"/>
          <w:szCs w:val="24"/>
        </w:rPr>
        <w:t xml:space="preserve">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</w:t>
      </w:r>
      <w:r>
        <w:rPr>
          <w:rFonts w:ascii="Times New Roman" w:hAnsi="Times New Roman" w:cs="Times New Roman"/>
          <w:sz w:val="24"/>
          <w:szCs w:val="24"/>
        </w:rPr>
        <w:t xml:space="preserve">поставленной цели; – сопоставлять полученный результат деятельности с поставленной заранее целью.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Познавательные универса</w:t>
      </w:r>
      <w:r>
        <w:rPr>
          <w:rFonts w:ascii="Times New Roman" w:hAnsi="Times New Roman" w:cs="Times New Roman"/>
          <w:sz w:val="24"/>
          <w:szCs w:val="24"/>
        </w:rPr>
        <w:t xml:space="preserve">льные учебные действия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 – искать и находить обобщенные способы решения задач, в том ч</w:t>
      </w:r>
      <w:r>
        <w:rPr>
          <w:rFonts w:ascii="Times New Roman" w:hAnsi="Times New Roman" w:cs="Times New Roman"/>
          <w:sz w:val="24"/>
          <w:szCs w:val="24"/>
        </w:rPr>
        <w:t xml:space="preserve">исле, осуществлять развернутый информационный поиск и ставить на его основе новые (учебные и познавательные) задачи; 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и на практике; – находить и приводить критические аргументы в отношении действий и суждений другого; с</w:t>
      </w:r>
      <w:r>
        <w:rPr>
          <w:rFonts w:ascii="Times New Roman" w:hAnsi="Times New Roman" w:cs="Times New Roman"/>
          <w:sz w:val="24"/>
          <w:szCs w:val="24"/>
        </w:rPr>
        <w:t xml:space="preserve">покойно и разумно относиться к критическим замечаниям в отношении собственного суждения, рассматривать их как ресурс собственного развития; – выходить за рамки учебного предмета и осуществлять целенаправленный поиск возможностей для широкого переноса средс</w:t>
      </w:r>
      <w:r>
        <w:rPr>
          <w:rFonts w:ascii="Times New Roman" w:hAnsi="Times New Roman" w:cs="Times New Roman"/>
          <w:sz w:val="24"/>
          <w:szCs w:val="24"/>
        </w:rPr>
        <w:t xml:space="preserve">тв и способов действия;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Коммуникативные универсальные уч</w:t>
      </w:r>
      <w:r>
        <w:rPr>
          <w:rFonts w:ascii="Times New Roman" w:hAnsi="Times New Roman" w:cs="Times New Roman"/>
          <w:sz w:val="24"/>
          <w:szCs w:val="24"/>
        </w:rPr>
        <w:t xml:space="preserve">ебные действия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научится: – осуществлять деловую коммуникацию как со сверстниками, так и </w:t>
      </w:r>
      <w:r>
        <w:rPr>
          <w:rFonts w:ascii="Times New Roman" w:hAnsi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эксперт, судья и т.д.); – координиров</w:t>
      </w:r>
      <w:r>
        <w:rPr>
          <w:rFonts w:ascii="Times New Roman" w:hAnsi="Times New Roman" w:cs="Times New Roman"/>
          <w:sz w:val="24"/>
          <w:szCs w:val="24"/>
        </w:rPr>
        <w:t xml:space="preserve">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средств, а также демонстрацией личного примера;</w:t>
      </w:r>
      <w:r>
        <w:rPr>
          <w:rFonts w:ascii="Times New Roman" w:hAnsi="Times New Roman" w:cs="Times New Roman"/>
          <w:sz w:val="24"/>
          <w:szCs w:val="24"/>
        </w:rPr>
        <w:t xml:space="preserve"> – распознавать </w:t>
      </w:r>
      <w:r>
        <w:rPr>
          <w:rFonts w:ascii="Times New Roman" w:hAnsi="Times New Roman" w:cs="Times New Roman"/>
          <w:sz w:val="24"/>
          <w:szCs w:val="24"/>
        </w:rPr>
        <w:t xml:space="preserve">конфликтогенные</w:t>
      </w:r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Предметные результаты. В результате внеурочной деятельности спортивно – оздоровительного направления Спорт</w:t>
      </w:r>
      <w:r>
        <w:rPr>
          <w:rFonts w:ascii="Times New Roman" w:hAnsi="Times New Roman" w:cs="Times New Roman"/>
          <w:sz w:val="24"/>
          <w:szCs w:val="24"/>
        </w:rPr>
        <w:t xml:space="preserve">ивный клуб  обучающиеся научатся: </w:t>
      </w:r>
      <w:r>
        <w:rPr>
          <w:rFonts w:ascii="Times New Roman" w:hAnsi="Times New Roman" w:cs="Times New Roman"/>
          <w:sz w:val="24"/>
          <w:szCs w:val="24"/>
        </w:rPr>
        <w:t xml:space="preserve">- давать определения понятиям: пробл</w:t>
      </w:r>
      <w:r>
        <w:rPr>
          <w:rFonts w:ascii="Times New Roman" w:hAnsi="Times New Roman" w:cs="Times New Roman"/>
          <w:sz w:val="24"/>
          <w:szCs w:val="24"/>
        </w:rPr>
        <w:t xml:space="preserve">ема, позиция, проект, соревнование, исследование, тренировочный процесс, планирование, физическое совершенствование, здоровый образ жизни, физическая культура, физические качества, способ организации тренировочного процесса; - раскрывать этапы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учебно- тренировочного</w:t>
      </w:r>
      <w:r>
        <w:rPr>
          <w:rFonts w:ascii="Times New Roman" w:hAnsi="Times New Roman" w:cs="Times New Roman"/>
          <w:sz w:val="24"/>
          <w:szCs w:val="24"/>
        </w:rPr>
        <w:t xml:space="preserve"> занятия; - владеть методами поиска, анализа и использования научной информации; - публично излагать результаты соревновательной работы; - </w:t>
      </w:r>
      <w:r>
        <w:rPr>
          <w:rFonts w:ascii="Times New Roman" w:hAnsi="Times New Roman" w:cs="Times New Roman"/>
          <w:sz w:val="24"/>
          <w:szCs w:val="24"/>
        </w:rPr>
        <w:t xml:space="preserve">планировать и выполнять учебный соревновательную деятельность, учебное занятие, используя оборудование, модели, методы и приемы физкультурной деятельности; - оформлять результаты свей работы или отчет о выпо</w:t>
      </w:r>
      <w:r>
        <w:rPr>
          <w:rFonts w:ascii="Times New Roman" w:hAnsi="Times New Roman" w:cs="Times New Roman"/>
          <w:sz w:val="24"/>
          <w:szCs w:val="24"/>
        </w:rPr>
        <w:t xml:space="preserve">лнении соревновательного и тренеров ночного проекта; - самостоятельно применять приобретённые знания в физкультурно-спортивной деятельности при решении различных задач с использованием знаний одного или нескольких учебных предметов или предметных областей;</w:t>
      </w:r>
      <w:r>
        <w:rPr>
          <w:rFonts w:ascii="Times New Roman" w:hAnsi="Times New Roman" w:cs="Times New Roman"/>
          <w:sz w:val="24"/>
          <w:szCs w:val="24"/>
        </w:rPr>
        <w:t xml:space="preserve"> - взаимодействовать с окружающими при организации физкультурной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внеурочной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Спортивный клуб </w:t>
      </w:r>
      <w:r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 xml:space="preserve">иеся получат возможность научиться: - владению понятийным аппаратом физкультурно-спортивной деятельности; - применению знания технологии организации самостоятельного физического совершенствования; - реализовывать общую схему хода физического развития: став</w:t>
      </w:r>
      <w:r>
        <w:rPr>
          <w:rFonts w:ascii="Times New Roman" w:hAnsi="Times New Roman" w:cs="Times New Roman"/>
          <w:sz w:val="24"/>
          <w:szCs w:val="24"/>
        </w:rPr>
        <w:t xml:space="preserve">ить цель, задачи, планировать и осуществлять сбор материала, используя предложенные или известные методики проведения тренировочного процесса, оценивать полученные результаты с точки зрения поставленной цели, используя различные способы и методы обработки;</w:t>
      </w:r>
      <w:r>
        <w:rPr>
          <w:rFonts w:ascii="Times New Roman" w:hAnsi="Times New Roman" w:cs="Times New Roman"/>
          <w:sz w:val="24"/>
          <w:szCs w:val="24"/>
        </w:rPr>
        <w:t xml:space="preserve"> - грамотно использовать в своей работе литературные данные и материалы сайтов </w:t>
      </w:r>
      <w:r>
        <w:rPr>
          <w:rFonts w:ascii="Times New Roman" w:hAnsi="Times New Roman" w:cs="Times New Roman"/>
          <w:sz w:val="24"/>
          <w:szCs w:val="24"/>
        </w:rPr>
        <w:t xml:space="preserve">Internet</w:t>
      </w:r>
      <w:r>
        <w:rPr>
          <w:rFonts w:ascii="Times New Roman" w:hAnsi="Times New Roman" w:cs="Times New Roman"/>
          <w:sz w:val="24"/>
          <w:szCs w:val="24"/>
        </w:rPr>
        <w:t xml:space="preserve">; - соблюдать правила оформ</w:t>
      </w:r>
      <w:r>
        <w:rPr>
          <w:rFonts w:ascii="Times New Roman" w:hAnsi="Times New Roman" w:cs="Times New Roman"/>
          <w:sz w:val="24"/>
          <w:szCs w:val="24"/>
        </w:rPr>
        <w:t xml:space="preserve">ления соревновательной работы и отчета о проведении соревнования; - иллюстрировать полученные результаты, применяя статистику и современные информационные технологии; - осознанно соблюдать правила сбора материала и его обработки и анализа; - прогнозировать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результаты, самостоятельно и совместно с другими участниками разрабатывать систему параметров и критериев оценки эффективности и продуктивности реализации физкультурной деятельности на каждом этапе реализации и по завершении работы; - адекватно оценивать </w:t>
      </w:r>
      <w:r>
        <w:rPr>
          <w:rFonts w:ascii="Times New Roman" w:hAnsi="Times New Roman" w:cs="Times New Roman"/>
          <w:sz w:val="24"/>
          <w:szCs w:val="24"/>
        </w:rPr>
        <w:t xml:space="preserve">риски и предусматривать пути минимизации этих рисков; - адекватно оценивать последствия (изменения, которые он повлечет в жизни других людей, сообществ); - адекватно оценивать дальнейшее физическое развитие, видеть возможные варианты применения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-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тезисы по результатам выполненной работы для публикации; - выбирать адекватные стратеги и коммуникации, гибко регулировать собственное речевое поведение. - осознавать свою ответственность за достоверность полученных знаний, за качество выполненной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Тестирование подготовленности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right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7"/>
        <w:tblW w:w="0" w:type="auto"/>
        <w:tblLook w:val="04A0" w:firstRow="1" w:lastRow="0" w:firstColumn="1" w:lastColumn="0" w:noHBand="0" w:noVBand="1"/>
      </w:tblPr>
      <w:tblGrid>
        <w:gridCol w:w="898"/>
        <w:gridCol w:w="4080"/>
        <w:gridCol w:w="1020"/>
        <w:gridCol w:w="1274"/>
      </w:tblGrid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294" w:type="dxa"/>
            <w:textDirection w:val="lrTb"/>
            <w:noWrap w:val="false"/>
          </w:tcPr>
          <w:p>
            <w:pPr>
              <w:jc w:val="center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20" w:after="2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кое планирования внеурочной деятельности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»Движение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есть жизнь»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0"/>
        <w:gridCol w:w="3778"/>
        <w:gridCol w:w="2552"/>
        <w:gridCol w:w="2126"/>
      </w:tblGrid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vMerge w:val="restart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vMerge w:val="restart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33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3748" w:type="dxa"/>
            <w:vAlign w:val="center"/>
            <w:vMerge w:val="continue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Теоретические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Вводное занятие. Техника безопасности во время занятий легкой атлетикой.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развития легкоатлетического спорта. Гигиена спортсмена и закаливание.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разбега способом « согнув ноги»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Места закаливания, их оборудование и подготовка. Ознакомление с правилами соревнований по бегу и прыжкам.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Тренировка в отдельных видах легкой атлетики. Бег на средние дистанции. Прыжки в длину с разбега.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дистанции. Бег 100 м. Эстафетный бег 4*100 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подготовка. Развитие силы мышц 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с отдельными элементами техники бега и ходьбы. Бег на короткие дистанции.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Контрольные упражнения. Бег 60м,100м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елночный бег 3*10м,прыжок в длину с места, подтягивание на перекладине.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Развитие силы мышц рук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3000 м. Инструкторская и судейская практика.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Развитие силы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мыщц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разбега способом « согнув ноги»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Гигиена спортсмена и закаливание.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физическая и специальная подготовка. Упражнения на тренажерах.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3000 м. Инструкторская и судейская практика.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Бег на средние дистанции до 800 м. Кроссовая подготовка.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в длину с разбега способом « согнув ноги». Инструкторская и судейская практика.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748" w:type="dxa"/>
            <w:textDirection w:val="lrTb"/>
            <w:noWrap w:val="false"/>
          </w:tcPr>
          <w:p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522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81" w:type="dxa"/>
            <w:textDirection w:val="lrTb"/>
            <w:noWrap w:val="false"/>
          </w:tcPr>
          <w:p>
            <w:pPr>
              <w:jc w:val="center"/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0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369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3516039"/>
      <w:docPartObj>
        <w:docPartGallery w:val="Page Numbers (Bottom of Page)"/>
        <w:docPartUnique w:val="true"/>
      </w:docPartObj>
      <w:rPr/>
    </w:sdtPr>
    <w:sdtContent>
      <w:p>
        <w:pPr>
          <w:pStyle w:val="7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369</w:t>
        </w:r>
        <w:r>
          <w:fldChar w:fldCharType="end"/>
        </w:r>
        <w:r/>
      </w:p>
    </w:sdtContent>
  </w:sdt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10"/>
    <w:uiPriority w:val="10"/>
    <w:rPr>
      <w:sz w:val="48"/>
      <w:szCs w:val="48"/>
    </w:rPr>
  </w:style>
  <w:style w:type="character" w:styleId="37">
    <w:name w:val="Subtitle Char"/>
    <w:basedOn w:val="697"/>
    <w:link w:val="712"/>
    <w:uiPriority w:val="11"/>
    <w:rPr>
      <w:sz w:val="24"/>
      <w:szCs w:val="24"/>
    </w:rPr>
  </w:style>
  <w:style w:type="character" w:styleId="39">
    <w:name w:val="Quote Char"/>
    <w:link w:val="714"/>
    <w:uiPriority w:val="29"/>
    <w:rPr>
      <w:i/>
    </w:rPr>
  </w:style>
  <w:style w:type="character" w:styleId="41">
    <w:name w:val="Intense Quote Char"/>
    <w:link w:val="716"/>
    <w:uiPriority w:val="30"/>
    <w:rPr>
      <w:i/>
    </w:rPr>
  </w:style>
  <w:style w:type="character" w:styleId="43">
    <w:name w:val="Header Char"/>
    <w:basedOn w:val="697"/>
    <w:link w:val="718"/>
    <w:uiPriority w:val="99"/>
  </w:style>
  <w:style w:type="character" w:styleId="47">
    <w:name w:val="Caption Char"/>
    <w:basedOn w:val="722"/>
    <w:link w:val="720"/>
    <w:uiPriority w:val="99"/>
  </w:style>
  <w:style w:type="character" w:styleId="176">
    <w:name w:val="Footnote Text Char"/>
    <w:link w:val="850"/>
    <w:uiPriority w:val="99"/>
    <w:rPr>
      <w:sz w:val="18"/>
    </w:rPr>
  </w:style>
  <w:style w:type="character" w:styleId="179">
    <w:name w:val="Endnote Text Char"/>
    <w:link w:val="853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/>
    </w:pPr>
    <w:rPr>
      <w:sz w:val="48"/>
      <w:szCs w:val="48"/>
    </w:rPr>
  </w:style>
  <w:style w:type="character" w:styleId="711" w:customStyle="1">
    <w:name w:val="Название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8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Верхний колонтитул Знак"/>
    <w:basedOn w:val="697"/>
    <w:link w:val="718"/>
    <w:uiPriority w:val="99"/>
  </w:style>
  <w:style w:type="paragraph" w:styleId="720">
    <w:name w:val="Footer"/>
    <w:basedOn w:val="687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basedOn w:val="697"/>
    <w:uiPriority w:val="99"/>
  </w:style>
  <w:style w:type="paragraph" w:styleId="722">
    <w:name w:val="Caption"/>
    <w:basedOn w:val="687"/>
    <w:next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3" w:customStyle="1">
    <w:name w:val="Нижний колонтитул Знак"/>
    <w:link w:val="720"/>
    <w:uiPriority w:val="99"/>
  </w:style>
  <w:style w:type="table" w:styleId="724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8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7"/>
    <w:uiPriority w:val="99"/>
    <w:unhideWhenUsed/>
    <w:rPr>
      <w:vertAlign w:val="superscript"/>
    </w:rPr>
  </w:style>
  <w:style w:type="paragraph" w:styleId="853">
    <w:name w:val="endnote text"/>
    <w:basedOn w:val="68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7"/>
    <w:uiPriority w:val="99"/>
    <w:semiHidden/>
    <w:unhideWhenUsed/>
    <w:rPr>
      <w:vertAlign w:val="superscript"/>
    </w:rPr>
  </w:style>
  <w:style w:type="paragraph" w:styleId="856">
    <w:name w:val="toc 1"/>
    <w:basedOn w:val="687"/>
    <w:next w:val="687"/>
    <w:uiPriority w:val="39"/>
    <w:unhideWhenUsed/>
    <w:pPr>
      <w:spacing w:after="57"/>
    </w:pPr>
  </w:style>
  <w:style w:type="paragraph" w:styleId="857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8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9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0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1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2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3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4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7"/>
    <w:next w:val="687"/>
    <w:uiPriority w:val="99"/>
    <w:unhideWhenUsed/>
    <w:pPr>
      <w:spacing w:after="0"/>
    </w:pPr>
  </w:style>
  <w:style w:type="table" w:styleId="867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8">
    <w:name w:val="List Paragraph"/>
    <w:basedOn w:val="687"/>
    <w:uiPriority w:val="34"/>
    <w:qFormat/>
    <w:pPr>
      <w:contextualSpacing/>
      <w:ind w:left="720"/>
    </w:pPr>
  </w:style>
  <w:style w:type="paragraph" w:styleId="869">
    <w:name w:val="Normal (Web)"/>
    <w:basedOn w:val="6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457D-B669-45DE-BB70-D57F9C33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SOPK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07</dc:creator>
  <cp:keywords/>
  <dc:description/>
  <cp:lastModifiedBy>Marina Клетинская</cp:lastModifiedBy>
  <cp:revision>15</cp:revision>
  <dcterms:created xsi:type="dcterms:W3CDTF">2023-09-09T06:18:00Z</dcterms:created>
  <dcterms:modified xsi:type="dcterms:W3CDTF">2023-12-04T17:02:24Z</dcterms:modified>
</cp:coreProperties>
</file>